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60" w:rsidRPr="00497E15" w:rsidRDefault="00BB0B60" w:rsidP="00BB0B60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/>
          <w:color w:val="000000"/>
          <w:sz w:val="18"/>
          <w:szCs w:val="18"/>
          <w:lang w:val="uk-UA"/>
        </w:rPr>
        <w:t>Річні</w:t>
      </w:r>
      <w:r w:rsidRPr="00241FD4">
        <w:rPr>
          <w:rFonts w:ascii="Times New Roman" w:hAnsi="Times New Roman"/>
          <w:color w:val="000000"/>
          <w:sz w:val="18"/>
          <w:szCs w:val="18"/>
          <w:lang w:val="uk-UA"/>
        </w:rPr>
        <w:t xml:space="preserve"> Загальні збори </w:t>
      </w:r>
      <w:r w:rsidRPr="00497E15">
        <w:rPr>
          <w:rFonts w:ascii="Times New Roman" w:hAnsi="Times New Roman"/>
          <w:color w:val="000000"/>
          <w:sz w:val="18"/>
          <w:szCs w:val="18"/>
          <w:lang w:val="uk-UA"/>
        </w:rPr>
        <w:t xml:space="preserve">акціонерів (далі- Збори) ПрАТ </w:t>
      </w:r>
      <w:r w:rsidRPr="00497E15">
        <w:rPr>
          <w:rFonts w:ascii="Times New Roman" w:hAnsi="Times New Roman"/>
          <w:sz w:val="18"/>
          <w:szCs w:val="18"/>
          <w:lang w:val="uk-UA"/>
        </w:rPr>
        <w:t>«ТЕЛЬКОМ»</w:t>
      </w:r>
      <w:r>
        <w:rPr>
          <w:rFonts w:ascii="Times New Roman" w:hAnsi="Times New Roman"/>
          <w:sz w:val="18"/>
          <w:szCs w:val="18"/>
          <w:lang w:val="uk-UA"/>
        </w:rPr>
        <w:t xml:space="preserve"> </w:t>
      </w:r>
    </w:p>
    <w:p w:rsidR="00BB0B60" w:rsidRPr="00497E15" w:rsidRDefault="00BB0B60" w:rsidP="00BB0B6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uk-UA"/>
        </w:rPr>
      </w:pPr>
      <w:r w:rsidRPr="00497E15">
        <w:rPr>
          <w:rFonts w:ascii="Times New Roman" w:hAnsi="Times New Roman"/>
          <w:sz w:val="18"/>
          <w:szCs w:val="18"/>
          <w:lang w:val="uk-UA"/>
        </w:rPr>
        <w:t>(далі – «Товариство») відбудуться</w:t>
      </w:r>
      <w:r w:rsidRPr="00497E15">
        <w:rPr>
          <w:rFonts w:ascii="Times New Roman" w:hAnsi="Times New Roman"/>
          <w:sz w:val="18"/>
          <w:szCs w:val="18"/>
        </w:rPr>
        <w:t xml:space="preserve"> </w:t>
      </w:r>
      <w:r w:rsidRPr="00497E15">
        <w:rPr>
          <w:rFonts w:ascii="Times New Roman" w:hAnsi="Times New Roman"/>
          <w:b/>
          <w:sz w:val="18"/>
          <w:szCs w:val="18"/>
          <w:lang w:val="uk-UA"/>
        </w:rPr>
        <w:t>«06» квітня 2018 року, початок об 10.00</w:t>
      </w:r>
    </w:p>
    <w:p w:rsidR="00BB0B60" w:rsidRPr="00BB0B60" w:rsidRDefault="00BB0B60">
      <w:pPr>
        <w:rPr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6"/>
        <w:gridCol w:w="4786"/>
      </w:tblGrid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Проект порядку денного:</w:t>
            </w: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Проекти рішень з питань включених до проекту порядку денного: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1.Обрання Лічильної комісії Зборів Товариства, прийняття рішення про припинення їх повноважень.</w:t>
            </w: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1.Обрати Лічильну комісію в наступному складі: голова Лічильної </w:t>
            </w:r>
            <w:r w:rsidRPr="00497E15">
              <w:rPr>
                <w:rFonts w:ascii="Times New Roman" w:hAnsi="Times New Roman"/>
                <w:sz w:val="18"/>
                <w:szCs w:val="18"/>
                <w:lang w:val="uk-UA"/>
              </w:rPr>
              <w:t>комісії –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Шайдетська Ф. Т.</w:t>
            </w:r>
            <w:r w:rsidRPr="00D9540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члени Лічильної комісії –Андрієш С.Д., Фатун В. А.</w:t>
            </w:r>
          </w:p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Припинити повноваження Лічильної комісії з моменту оголошення про закриття Зборів Товариства.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2.Затвердження порядку засвідчення бюлетенів для голосування на Зборах Товариства.</w:t>
            </w: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2. Б</w:t>
            </w:r>
            <w:r w:rsidRPr="00241FD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юлетень для голосування (в тому числі бюлетень для кумулятивного голосування), виданий акціонеру (його представнику) за результатами проведеної реєстрації засвідчується підписом Голови 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Лічильної </w:t>
            </w:r>
            <w:r w:rsidRPr="00241FD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комісії в нижній частині бюлетеня із зазначенням прізвища та ініціалів Голови 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Лічильної </w:t>
            </w:r>
            <w:r w:rsidRPr="00241FD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комісії; у разі, якщо бюлетень для голосування або бюлетень для кумулятивного голосування складається з кількох аркушів, підписом Голови 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Лічильної </w:t>
            </w:r>
            <w:r w:rsidRPr="00241FD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комісії засвідчується кожен аркуш бюлетеня.</w:t>
            </w:r>
          </w:p>
        </w:tc>
      </w:tr>
      <w:tr w:rsidR="00BB0B60" w:rsidRPr="00241FD4" w:rsidTr="004358A7">
        <w:trPr>
          <w:trHeight w:val="512"/>
        </w:trPr>
        <w:tc>
          <w:tcPr>
            <w:tcW w:w="53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3.Обрання Голови та Секретаря Зборів Товариства.</w:t>
            </w:r>
          </w:p>
        </w:tc>
        <w:tc>
          <w:tcPr>
            <w:tcW w:w="4786" w:type="dxa"/>
            <w:shd w:val="clear" w:color="auto" w:fill="auto"/>
          </w:tcPr>
          <w:p w:rsidR="00BB0B60" w:rsidRPr="00AE4657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3.Обрати Головою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Зборів Товариства Даценка І. К</w:t>
            </w:r>
            <w:r w:rsidRPr="00497E15">
              <w:rPr>
                <w:rFonts w:ascii="Times New Roman" w:hAnsi="Times New Roman"/>
                <w:sz w:val="18"/>
                <w:szCs w:val="18"/>
                <w:lang w:val="uk-UA"/>
              </w:rPr>
              <w:t>.,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секретарем Зборів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Соколову Л. Н.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4.Затвердження регламенту Зборів Товариства.</w:t>
            </w:r>
          </w:p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4. Затвердити регламент Зборів Товариства. Заявка на виступ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з питання повістки дня подається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у письмовій формі Голові Зборів. Слово для виступу надається в порядку надходження заяв. Розрахунковий час на проведення зборів 3 години визначено наступним чином: доповідь з питання повістки дня - до 10 хвилин (разом з відповідями на питання); виступ з питання повістки дня - до 3 хвилин; виступ з довідкою - не більше 1 хвилини Збори Товариства провести без перерви.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EF1A23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>. Розгляд звітів органів управління за 2017 рік та затвердже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ння заходів за результатами їх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розгляду </w:t>
            </w: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5. Затвердити надані для розгляду звіти орган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ів управління Товариства за 2017</w:t>
            </w: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рік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, та заходи за результатами їх розгляду.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EF1A23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>. Затвердження річної фінансової звітності Товариства та річного звіту Товариства за 2017 рік.</w:t>
            </w: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6. Затвердити річну фінансову звітність Товариства т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 річний звіт Товариства за 2017</w:t>
            </w: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рік.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EF1A23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 w:rsidRPr="00EF1A23">
              <w:rPr>
                <w:lang w:val="uk-UA"/>
              </w:rPr>
              <w:t xml:space="preserve"> 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Розгляд висновків зовнішнього аудиту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 2017 рік 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>та затвердження заходів за результатами його розгляду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7.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>Затвердити висновок зовнішнього аудиту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>за 2017 рік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, та заходи за результатами його розгляду. 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EF1A23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>. Затвердження порядку розподілу прибутку (покриття збитків) Товариства 2017 рік.</w:t>
            </w: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45EA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8. Затвердити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97E15">
              <w:rPr>
                <w:rFonts w:ascii="Times New Roman" w:hAnsi="Times New Roman"/>
                <w:sz w:val="18"/>
                <w:szCs w:val="18"/>
                <w:lang w:val="uk-UA"/>
              </w:rPr>
              <w:t>прибуток отриманий Товариством у 2017 році, прибуток,отриманий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97E15">
              <w:rPr>
                <w:rFonts w:ascii="Times New Roman" w:hAnsi="Times New Roman"/>
                <w:sz w:val="18"/>
                <w:szCs w:val="18"/>
                <w:lang w:val="uk-UA"/>
              </w:rPr>
              <w:t>Товариством у 2017 році у повному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97E15">
              <w:rPr>
                <w:rFonts w:ascii="Times New Roman" w:hAnsi="Times New Roman"/>
                <w:sz w:val="18"/>
                <w:szCs w:val="18"/>
                <w:lang w:val="uk-UA"/>
              </w:rPr>
              <w:t>обсязі залишити нерозподіленим. Дивіденди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97E15">
              <w:rPr>
                <w:rFonts w:ascii="Times New Roman" w:hAnsi="Times New Roman"/>
                <w:sz w:val="18"/>
                <w:szCs w:val="18"/>
                <w:lang w:val="uk-UA"/>
              </w:rPr>
              <w:t>за результатами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97E15">
              <w:rPr>
                <w:rFonts w:ascii="Times New Roman" w:hAnsi="Times New Roman"/>
                <w:sz w:val="18"/>
                <w:szCs w:val="18"/>
                <w:lang w:val="uk-UA"/>
              </w:rPr>
              <w:t>господарської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97E15">
              <w:rPr>
                <w:rFonts w:ascii="Times New Roman" w:hAnsi="Times New Roman"/>
                <w:sz w:val="18"/>
                <w:szCs w:val="18"/>
                <w:lang w:val="uk-UA"/>
              </w:rPr>
              <w:t>діяльності за 2017 рік не нараховувати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97E15">
              <w:rPr>
                <w:rFonts w:ascii="Times New Roman" w:hAnsi="Times New Roman"/>
                <w:sz w:val="18"/>
                <w:szCs w:val="18"/>
                <w:lang w:val="uk-UA"/>
              </w:rPr>
              <w:t>та не сплачувати.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EF1A23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>. Визначення напрям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ків діяльності Товариства у 2018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році.</w:t>
            </w: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7E15">
              <w:rPr>
                <w:rFonts w:ascii="Times New Roman" w:hAnsi="Times New Roman"/>
                <w:sz w:val="18"/>
                <w:szCs w:val="18"/>
                <w:lang w:val="uk-UA"/>
              </w:rPr>
              <w:t>9. Надання в оренду й експлуатацію власного чи орендованого нерухомого майна.</w:t>
            </w:r>
          </w:p>
        </w:tc>
      </w:tr>
      <w:tr w:rsidR="00BB0B60" w:rsidRPr="00EB47B0" w:rsidTr="004358A7">
        <w:tc>
          <w:tcPr>
            <w:tcW w:w="5386" w:type="dxa"/>
            <w:shd w:val="clear" w:color="auto" w:fill="auto"/>
          </w:tcPr>
          <w:p w:rsidR="00BB0B60" w:rsidRPr="00EF1A23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EF1A23">
              <w:rPr>
                <w:rFonts w:ascii="Times New Roman" w:hAnsi="Times New Roman"/>
                <w:sz w:val="18"/>
                <w:szCs w:val="18"/>
                <w:lang w:val="uk-UA"/>
              </w:rPr>
              <w:t>. Внесення та затвердження змін та доповнень до Статуту Товариства шляхом викладення його в новій редакції, у зв’язку з приведенням діяльності Товариства у відповідність до Закону України «Про акціонерні товариства».</w:t>
            </w: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241FD4">
              <w:rPr>
                <w:rFonts w:ascii="Times New Roman" w:hAnsi="Times New Roman"/>
                <w:sz w:val="18"/>
                <w:szCs w:val="18"/>
                <w:lang w:val="uk-UA"/>
              </w:rPr>
              <w:t>. Внести зміни та доповнення до Статуту Товариства шляхом викладення його в новій редакції з метою приведення діяльності Товариства у відповідність до Закону України «Про акціонерні товариства». Затвердити нову редакцію Статуту Товариства. Уповноважити Директора підписати Статут Товариства у новій редакції і здійснити всі необхідні дії щодо державної реєстрації Статуту Товариства у новій редакції (в тому числі видати довіреність на здійснення всіх необхідних дій щодо державної реєстрації Статуту Товариства у новій редакції третій особі).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B9484E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11. Внесення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та затвердження змін до положень Товариства: </w:t>
            </w:r>
          </w:p>
          <w:p w:rsidR="00BB0B60" w:rsidRPr="00B9484E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• Про Загальні збори акціонерів Товариства,</w:t>
            </w:r>
          </w:p>
          <w:p w:rsidR="00BB0B60" w:rsidRPr="00B9484E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• Про Наглядову раду Товариства;</w:t>
            </w:r>
          </w:p>
          <w:p w:rsidR="00BB0B60" w:rsidRPr="00B9484E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• Про Ревізійну комісію Товариства;</w:t>
            </w:r>
          </w:p>
          <w:p w:rsidR="00BB0B60" w:rsidRPr="00B9484E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• Про Виконавчий орган Товариства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BB0B60" w:rsidRPr="00B9484E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11. Внести зміни та доповнення до положень Товариства шляхом викладення їх в новій редакції. Затвердити Положення у новій редакції:</w:t>
            </w:r>
          </w:p>
          <w:p w:rsidR="00BB0B60" w:rsidRPr="00B9484E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• Про Загальні збори акціонерів Товариства,</w:t>
            </w:r>
          </w:p>
          <w:p w:rsidR="00BB0B60" w:rsidRPr="00B9484E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• Про Наглядову раду Товариства,</w:t>
            </w:r>
          </w:p>
          <w:p w:rsidR="00BB0B60" w:rsidRPr="00B9484E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• Про Ревізійну комісію Товариства</w:t>
            </w:r>
          </w:p>
          <w:p w:rsidR="00BB0B60" w:rsidRPr="00B9484E" w:rsidRDefault="00BB0B60" w:rsidP="004358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• Про Виконавчий орган Товариства.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B9484E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12. Припинення повноважень Голови та членів Наглядової ради Товариства.</w:t>
            </w:r>
          </w:p>
        </w:tc>
        <w:tc>
          <w:tcPr>
            <w:tcW w:w="4786" w:type="dxa"/>
            <w:shd w:val="clear" w:color="auto" w:fill="auto"/>
          </w:tcPr>
          <w:p w:rsidR="00BB0B60" w:rsidRPr="00241FD4" w:rsidRDefault="00BB0B60" w:rsidP="004358A7">
            <w:pPr>
              <w:pStyle w:val="a3"/>
              <w:widowControl w:val="0"/>
              <w:suppressAutoHyphens/>
              <w:spacing w:after="0" w:line="200" w:lineRule="atLeast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12</w:t>
            </w:r>
            <w:r w:rsidRPr="00241FD4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. Припинити повноваження Голови та членів Наглядової ради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241FD4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в повному складі.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B9484E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13. Обрання членів Наглядової ради Товариства, визначення її кількісного складу та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строку повноважень, затвердження умов цивільно-правових договорів, що укладатимуться з ними,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встановлення розміру винагороди, визначення особи, уповноваженої від імені Товариства на підписання даних договорів.</w:t>
            </w:r>
          </w:p>
        </w:tc>
        <w:tc>
          <w:tcPr>
            <w:tcW w:w="4786" w:type="dxa"/>
            <w:shd w:val="clear" w:color="auto" w:fill="auto"/>
          </w:tcPr>
          <w:p w:rsidR="00BB0B60" w:rsidRPr="00B9484E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13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. Члени Наглядової ради обираються кумулятивним голосуванням. Встановити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кількісний склад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Наглядової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ради – 3 (три) особи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зі строком повноважень на 3 (три)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роки до відповідних загальних зборів акціонерів Товариства. Затвердити наступні умови цивільно-правових договорів з членами Наглядової ради: здійснювати свою діяльність відповідно до вимог чинного законодавства України, Статуту Товариства та Положення про Наглядову раду Товариства. Свої обов’язки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члени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Наглядової ради виконують на безоплатній основі. Визначити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Д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иректора особою, уповноваженою від імені Товариства, на підписання цивільно-правових договорів з членами Наглядової ради Товариства.</w:t>
            </w:r>
          </w:p>
        </w:tc>
      </w:tr>
      <w:tr w:rsidR="00BB0B60" w:rsidRPr="00241FD4" w:rsidTr="004358A7">
        <w:tc>
          <w:tcPr>
            <w:tcW w:w="5386" w:type="dxa"/>
            <w:shd w:val="clear" w:color="auto" w:fill="auto"/>
          </w:tcPr>
          <w:p w:rsidR="00BB0B60" w:rsidRPr="00B9484E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14. Припинення повноважень Ревізійної комісії Товариства.</w:t>
            </w:r>
          </w:p>
        </w:tc>
        <w:tc>
          <w:tcPr>
            <w:tcW w:w="4786" w:type="dxa"/>
            <w:shd w:val="clear" w:color="auto" w:fill="auto"/>
          </w:tcPr>
          <w:p w:rsidR="00BB0B60" w:rsidRPr="00B9484E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. Припинити повноваження Ревізійної комісії Товариства у повному складі.</w:t>
            </w:r>
          </w:p>
        </w:tc>
      </w:tr>
      <w:tr w:rsidR="00BB0B60" w:rsidRPr="00241FD4" w:rsidTr="004358A7">
        <w:trPr>
          <w:trHeight w:val="2767"/>
        </w:trPr>
        <w:tc>
          <w:tcPr>
            <w:tcW w:w="5386" w:type="dxa"/>
            <w:shd w:val="clear" w:color="auto" w:fill="auto"/>
          </w:tcPr>
          <w:p w:rsidR="00BB0B60" w:rsidRPr="00B9484E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15. Обрання членів Ревізійної комісії Товариства, визначення її кількісного складу та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строку повноважень, затвердження умов цивільно-правових договорів, що укладатимуться з ними, визначення особи, уповноваженої від імені Товариства на підписання даних договорів.</w:t>
            </w:r>
          </w:p>
        </w:tc>
        <w:tc>
          <w:tcPr>
            <w:tcW w:w="4786" w:type="dxa"/>
            <w:shd w:val="clear" w:color="auto" w:fill="auto"/>
          </w:tcPr>
          <w:p w:rsidR="00BB0B60" w:rsidRPr="00B9484E" w:rsidRDefault="00BB0B60" w:rsidP="00435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. Ревізійна комісія обирається кумулятивним голосуванням. Встановити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кількісний склад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Ревізійної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комісії - 3 (три) особи зі строком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повноважень на 3 (три) роки до відповідних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загальних зборів акціонерів Товариства.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Затвердити наступні умови цивільно-правових договорів з членами Ревізійної комісії: здійснювати свою діяльність відповідно до вимог чинного законодавства України, Статуту Товариства та Положення про Ревізійну комісію Товариства. Свої обов’язки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члени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Ревізійної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комісії виконують на безоплатній основі. Визначити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Д</w:t>
            </w:r>
            <w:r w:rsidRPr="00B9484E">
              <w:rPr>
                <w:rFonts w:ascii="Times New Roman" w:hAnsi="Times New Roman"/>
                <w:sz w:val="18"/>
                <w:szCs w:val="18"/>
                <w:lang w:val="uk-UA"/>
              </w:rPr>
              <w:t>иректора особою, уповноваженою від імені Товариства, на підписання цивільно-правових договорів з членами Ревізійної комісії Товариства.</w:t>
            </w:r>
          </w:p>
        </w:tc>
      </w:tr>
    </w:tbl>
    <w:p w:rsidR="00BB0B60" w:rsidRPr="00BB0B60" w:rsidRDefault="00BB0B60"/>
    <w:sectPr w:rsidR="00BB0B60" w:rsidRPr="00BB0B60" w:rsidSect="00E8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BB0B60"/>
    <w:rsid w:val="00BB0B60"/>
    <w:rsid w:val="00BC6CA0"/>
    <w:rsid w:val="00E86DA5"/>
    <w:rsid w:val="00F9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0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5324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</dc:creator>
  <cp:lastModifiedBy>Sergey Bikeev</cp:lastModifiedBy>
  <cp:revision>2</cp:revision>
  <dcterms:created xsi:type="dcterms:W3CDTF">2018-03-07T11:05:00Z</dcterms:created>
  <dcterms:modified xsi:type="dcterms:W3CDTF">2018-03-07T11:05:00Z</dcterms:modified>
</cp:coreProperties>
</file>